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92F2" w14:textId="317CA60D" w:rsidR="004564A3" w:rsidRDefault="00287FC7" w:rsidP="006F762D">
      <w:pPr>
        <w:keepNext/>
        <w:keepLines/>
        <w:spacing w:before="480" w:after="0" w:line="240" w:lineRule="auto"/>
        <w:contextualSpacing/>
        <w:outlineLvl w:val="0"/>
        <w:rPr>
          <w:rFonts w:ascii="Aptos Display" w:eastAsia="DengXian Light" w:hAnsi="Aptos Display" w:cs="Angsana New"/>
          <w:color w:val="F04C29"/>
          <w:kern w:val="0"/>
          <w:sz w:val="42"/>
          <w:szCs w:val="42"/>
          <w:lang w:eastAsia="zh-CN" w:bidi="th-TH"/>
          <w14:ligatures w14:val="none"/>
        </w:rPr>
      </w:pPr>
      <w:r w:rsidRPr="00A0524A">
        <w:rPr>
          <w:rFonts w:ascii="Aptos Display" w:eastAsia="DengXian Light" w:hAnsi="Aptos Display" w:cs="Angsana New"/>
          <w:color w:val="F04C29"/>
          <w:kern w:val="0"/>
          <w:sz w:val="42"/>
          <w:szCs w:val="42"/>
          <w:lang w:eastAsia="zh-CN" w:bidi="th-TH"/>
          <w14:ligatures w14:val="none"/>
        </w:rPr>
        <w:t xml:space="preserve">Members Advisory Group </w:t>
      </w:r>
      <w:r w:rsidR="00A10BB0" w:rsidRPr="00A0524A">
        <w:rPr>
          <w:rFonts w:ascii="Aptos Display" w:eastAsia="DengXian Light" w:hAnsi="Aptos Display" w:cs="Angsana New"/>
          <w:color w:val="F04C29"/>
          <w:kern w:val="0"/>
          <w:sz w:val="42"/>
          <w:szCs w:val="42"/>
          <w:lang w:eastAsia="zh-CN" w:bidi="th-TH"/>
          <w14:ligatures w14:val="none"/>
        </w:rPr>
        <w:t>(MAG)</w:t>
      </w:r>
      <w:r w:rsidR="00A0524A" w:rsidRPr="00A0524A">
        <w:rPr>
          <w:rFonts w:ascii="Aptos Display" w:eastAsia="DengXian Light" w:hAnsi="Aptos Display" w:cs="Angsana New"/>
          <w:color w:val="F04C29"/>
          <w:kern w:val="0"/>
          <w:sz w:val="42"/>
          <w:szCs w:val="42"/>
          <w:lang w:eastAsia="zh-CN" w:bidi="th-TH"/>
          <w14:ligatures w14:val="none"/>
        </w:rPr>
        <w:t xml:space="preserve"> t</w:t>
      </w:r>
      <w:r w:rsidRPr="00A0524A">
        <w:rPr>
          <w:rFonts w:ascii="Aptos Display" w:eastAsia="DengXian Light" w:hAnsi="Aptos Display" w:cs="Angsana New"/>
          <w:color w:val="F04C29"/>
          <w:kern w:val="0"/>
          <w:sz w:val="42"/>
          <w:szCs w:val="42"/>
          <w:lang w:eastAsia="zh-CN" w:bidi="th-TH"/>
          <w14:ligatures w14:val="none"/>
        </w:rPr>
        <w:t>erms of reference</w:t>
      </w:r>
    </w:p>
    <w:p w14:paraId="0C6949A4" w14:textId="7258FEAF" w:rsidR="00A0524A" w:rsidRPr="009061AA" w:rsidRDefault="00EB35AC" w:rsidP="006F762D">
      <w:pPr>
        <w:keepNext/>
        <w:keepLines/>
        <w:spacing w:before="480" w:after="0" w:line="240" w:lineRule="auto"/>
        <w:contextualSpacing/>
        <w:outlineLvl w:val="0"/>
        <w:rPr>
          <w:rFonts w:ascii="Aptos Display" w:eastAsia="DengXian Light" w:hAnsi="Aptos Display" w:cs="Angsana New"/>
          <w:color w:val="F04C29"/>
          <w:kern w:val="0"/>
          <w:sz w:val="28"/>
          <w:szCs w:val="28"/>
          <w:lang w:eastAsia="zh-CN" w:bidi="th-TH"/>
          <w14:ligatures w14:val="none"/>
        </w:rPr>
      </w:pPr>
      <w:r>
        <w:rPr>
          <w:rFonts w:ascii="Aptos Display" w:eastAsia="DengXian Light" w:hAnsi="Aptos Display" w:cs="Angsana New"/>
          <w:color w:val="F04C29"/>
          <w:kern w:val="0"/>
          <w:sz w:val="28"/>
          <w:szCs w:val="28"/>
          <w:lang w:eastAsia="zh-CN" w:bidi="th-TH"/>
          <w14:ligatures w14:val="none"/>
        </w:rPr>
        <w:t>July</w:t>
      </w:r>
      <w:r w:rsidR="009061AA" w:rsidRPr="009061AA">
        <w:rPr>
          <w:rFonts w:ascii="Aptos Display" w:eastAsia="DengXian Light" w:hAnsi="Aptos Display" w:cs="Angsana New"/>
          <w:color w:val="F04C29"/>
          <w:kern w:val="0"/>
          <w:sz w:val="28"/>
          <w:szCs w:val="28"/>
          <w:lang w:eastAsia="zh-CN" w:bidi="th-TH"/>
          <w14:ligatures w14:val="none"/>
        </w:rPr>
        <w:t xml:space="preserve"> 2025</w:t>
      </w:r>
    </w:p>
    <w:p w14:paraId="6E814D44" w14:textId="050DC1E9" w:rsidR="00287FC7" w:rsidRPr="006F762D" w:rsidRDefault="002E64E0" w:rsidP="006F762D">
      <w:pPr>
        <w:keepNext/>
        <w:spacing w:before="360" w:after="0" w:line="240" w:lineRule="auto"/>
        <w:outlineLvl w:val="1"/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</w:pPr>
      <w:r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 xml:space="preserve">History of CLCA’s </w:t>
      </w:r>
      <w:r w:rsidR="005F573B"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membership engagement</w:t>
      </w:r>
    </w:p>
    <w:p w14:paraId="31EF3231" w14:textId="6B89E5DE" w:rsidR="00E0085D" w:rsidRDefault="005B0BB4" w:rsidP="006F762D">
      <w:pPr>
        <w:pStyle w:val="ListParagraph"/>
        <w:numPr>
          <w:ilvl w:val="0"/>
          <w:numId w:val="9"/>
        </w:numPr>
        <w:ind w:left="567" w:hanging="567"/>
      </w:pPr>
      <w:r>
        <w:t>CLCA</w:t>
      </w:r>
      <w:r w:rsidR="00D67A38">
        <w:t xml:space="preserve"> (formerly </w:t>
      </w:r>
      <w:r>
        <w:t>NACLC</w:t>
      </w:r>
      <w:r w:rsidR="00D67A38">
        <w:t>)</w:t>
      </w:r>
      <w:r>
        <w:t xml:space="preserve"> has a long history of engaging</w:t>
      </w:r>
      <w:r w:rsidR="0881B714">
        <w:t xml:space="preserve"> and consulting</w:t>
      </w:r>
      <w:r>
        <w:t xml:space="preserve"> members in </w:t>
      </w:r>
      <w:r w:rsidR="00377A31">
        <w:t>its work</w:t>
      </w:r>
      <w:r w:rsidR="1D047402">
        <w:t>.</w:t>
      </w:r>
    </w:p>
    <w:p w14:paraId="7033592F" w14:textId="1050777E" w:rsidR="00377A31" w:rsidRDefault="00D67A38" w:rsidP="006F762D">
      <w:pPr>
        <w:pStyle w:val="ListParagraph"/>
        <w:numPr>
          <w:ilvl w:val="0"/>
          <w:numId w:val="9"/>
        </w:numPr>
        <w:ind w:left="567" w:hanging="567"/>
      </w:pPr>
      <w:r>
        <w:t>Previously</w:t>
      </w:r>
      <w:r w:rsidR="00377A31">
        <w:t xml:space="preserve"> </w:t>
      </w:r>
      <w:r w:rsidR="00C855BE">
        <w:t>an Advisory Council comprising two</w:t>
      </w:r>
      <w:r w:rsidR="006B33D1">
        <w:t xml:space="preserve"> representatives from </w:t>
      </w:r>
      <w:r w:rsidR="008B0798">
        <w:t>each jurisdiction</w:t>
      </w:r>
      <w:r w:rsidR="00DE5E3C">
        <w:t xml:space="preserve">, </w:t>
      </w:r>
      <w:r w:rsidR="00E46598">
        <w:t xml:space="preserve">was required by the constitution </w:t>
      </w:r>
      <w:r w:rsidR="00DE5E3C">
        <w:t xml:space="preserve">which met </w:t>
      </w:r>
      <w:r w:rsidR="0C00713A">
        <w:t xml:space="preserve">online and </w:t>
      </w:r>
      <w:r w:rsidR="00DE5E3C">
        <w:t>face to face</w:t>
      </w:r>
      <w:r w:rsidR="006F114E">
        <w:t xml:space="preserve"> </w:t>
      </w:r>
      <w:r w:rsidR="00886F22">
        <w:t>semi-regularly throughout the year</w:t>
      </w:r>
      <w:r w:rsidR="77E484B1">
        <w:t>.</w:t>
      </w:r>
      <w:r w:rsidR="00E46598">
        <w:t xml:space="preserve"> This requirement was removed </w:t>
      </w:r>
      <w:r w:rsidR="003C40F9">
        <w:t>from the constitution in 2020.</w:t>
      </w:r>
    </w:p>
    <w:p w14:paraId="6752B6D0" w14:textId="1C6DD1BB" w:rsidR="006F114E" w:rsidRDefault="003C40F9" w:rsidP="006F762D">
      <w:pPr>
        <w:pStyle w:val="ListParagraph"/>
        <w:numPr>
          <w:ilvl w:val="0"/>
          <w:numId w:val="9"/>
        </w:numPr>
        <w:ind w:left="567" w:hanging="567"/>
      </w:pPr>
      <w:r>
        <w:t>O</w:t>
      </w:r>
      <w:r w:rsidR="005D26F7">
        <w:t xml:space="preserve">ther structures </w:t>
      </w:r>
      <w:r>
        <w:t xml:space="preserve">were established </w:t>
      </w:r>
      <w:r w:rsidR="1E3D966E">
        <w:t xml:space="preserve">to provide </w:t>
      </w:r>
      <w:r w:rsidR="005D26F7">
        <w:t xml:space="preserve">advice </w:t>
      </w:r>
      <w:r w:rsidR="00D3589F">
        <w:t xml:space="preserve">on specific areas of </w:t>
      </w:r>
      <w:r w:rsidR="753B6256">
        <w:t xml:space="preserve">the </w:t>
      </w:r>
      <w:r>
        <w:t>CLCA’s</w:t>
      </w:r>
      <w:r w:rsidR="753B6256">
        <w:t xml:space="preserve"> work. These were later collapsed into a single advisory group, although the membership was not streamlined </w:t>
      </w:r>
      <w:r w:rsidR="5C398723">
        <w:t>at the same time</w:t>
      </w:r>
      <w:r w:rsidR="753B6256">
        <w:t>.</w:t>
      </w:r>
    </w:p>
    <w:p w14:paraId="2B2B02E6" w14:textId="4A7F8357" w:rsidR="00287FC7" w:rsidRPr="00287FC7" w:rsidRDefault="753B6256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In 2022 </w:t>
      </w:r>
      <w:r w:rsidR="001D7F0E">
        <w:t>th</w:t>
      </w:r>
      <w:r>
        <w:t>e MAG</w:t>
      </w:r>
      <w:r w:rsidR="001D7F0E">
        <w:t xml:space="preserve"> was formed</w:t>
      </w:r>
      <w:r>
        <w:t xml:space="preserve">, with </w:t>
      </w:r>
      <w:r w:rsidR="0065422B">
        <w:t>membership from the</w:t>
      </w:r>
      <w:r>
        <w:t xml:space="preserve"> national peak’s eight members.</w:t>
      </w:r>
    </w:p>
    <w:p w14:paraId="10C4137A" w14:textId="48EFA95C" w:rsidR="00287FC7" w:rsidRPr="006F762D" w:rsidRDefault="00287FC7" w:rsidP="006F762D">
      <w:pPr>
        <w:keepNext/>
        <w:spacing w:before="360" w:after="0" w:line="240" w:lineRule="auto"/>
        <w:outlineLvl w:val="1"/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</w:pPr>
      <w:r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Purpose</w:t>
      </w:r>
      <w:r w:rsidR="001634B6"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 xml:space="preserve"> of MAG</w:t>
      </w:r>
    </w:p>
    <w:p w14:paraId="02FD9B7F" w14:textId="46F51DFA" w:rsidR="00287FC7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>To provide advice to CLCA on state and territory issues and perspectives</w:t>
      </w:r>
    </w:p>
    <w:p w14:paraId="46887EC7" w14:textId="1446D2C5" w:rsidR="00287FC7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>To help inform CLCA thinking and practice</w:t>
      </w:r>
      <w:r w:rsidR="00E31F80">
        <w:t>, including on:</w:t>
      </w:r>
    </w:p>
    <w:p w14:paraId="0E06D994" w14:textId="6B7A6419" w:rsidR="00E31F80" w:rsidRDefault="00E31F80" w:rsidP="006F762D">
      <w:pPr>
        <w:pStyle w:val="ListParagraph"/>
        <w:numPr>
          <w:ilvl w:val="1"/>
          <w:numId w:val="9"/>
        </w:numPr>
        <w:ind w:left="1134" w:hanging="567"/>
      </w:pPr>
      <w:r>
        <w:t>National policy and advocacy matters</w:t>
      </w:r>
    </w:p>
    <w:p w14:paraId="4254E43D" w14:textId="3597A044" w:rsidR="00E31F80" w:rsidRDefault="00E31F80" w:rsidP="006F762D">
      <w:pPr>
        <w:pStyle w:val="ListParagraph"/>
        <w:numPr>
          <w:ilvl w:val="1"/>
          <w:numId w:val="9"/>
        </w:numPr>
        <w:ind w:left="1134" w:hanging="567"/>
      </w:pPr>
      <w:r>
        <w:t>Any of the sector service programs that CLCA runs</w:t>
      </w:r>
      <w:r w:rsidR="00BA290D">
        <w:t>.</w:t>
      </w:r>
    </w:p>
    <w:p w14:paraId="488D9D6D" w14:textId="14EC1EEE" w:rsidR="00287FC7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>To provide a forum for sharing of ideas and experiences between jurisdictions</w:t>
      </w:r>
      <w:r w:rsidR="00BA290D">
        <w:t>.</w:t>
      </w:r>
    </w:p>
    <w:p w14:paraId="60B682F6" w14:textId="77777777" w:rsidR="002C616E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>To facilitate sector cohesion and collaboration</w:t>
      </w:r>
      <w:r w:rsidR="0045244D">
        <w:t xml:space="preserve"> </w:t>
      </w:r>
      <w:r w:rsidR="001431F7">
        <w:t>by</w:t>
      </w:r>
      <w:r w:rsidR="002C616E">
        <w:t>:</w:t>
      </w:r>
    </w:p>
    <w:p w14:paraId="55557B35" w14:textId="572536BA" w:rsidR="00287FC7" w:rsidRDefault="001431F7" w:rsidP="006F762D">
      <w:pPr>
        <w:pStyle w:val="ListParagraph"/>
        <w:numPr>
          <w:ilvl w:val="1"/>
          <w:numId w:val="9"/>
        </w:numPr>
        <w:ind w:left="1134" w:hanging="567"/>
      </w:pPr>
      <w:r>
        <w:t xml:space="preserve"> </w:t>
      </w:r>
      <w:r w:rsidR="006F762D">
        <w:t>A</w:t>
      </w:r>
      <w:r>
        <w:t>ssisting CLCA to</w:t>
      </w:r>
      <w:r w:rsidR="00EE32F9">
        <w:t xml:space="preserve"> form positions that </w:t>
      </w:r>
      <w:r>
        <w:t>are</w:t>
      </w:r>
      <w:r w:rsidR="000F4FEF">
        <w:t>,</w:t>
      </w:r>
      <w:r>
        <w:t xml:space="preserve"> where </w:t>
      </w:r>
      <w:r w:rsidR="000F4FEF">
        <w:t xml:space="preserve">necessary and </w:t>
      </w:r>
      <w:r>
        <w:t>possible</w:t>
      </w:r>
      <w:r w:rsidR="000F4FEF">
        <w:t>,</w:t>
      </w:r>
      <w:r>
        <w:t xml:space="preserve"> </w:t>
      </w:r>
      <w:r w:rsidR="00EE32F9">
        <w:t>consisten</w:t>
      </w:r>
      <w:r>
        <w:t xml:space="preserve">t </w:t>
      </w:r>
      <w:r w:rsidR="00EE32F9">
        <w:t>nationally and across the country</w:t>
      </w:r>
      <w:r w:rsidR="002C616E">
        <w:t>;</w:t>
      </w:r>
    </w:p>
    <w:p w14:paraId="2FFF67CF" w14:textId="155ECB07" w:rsidR="007C06BF" w:rsidRPr="00EE32F9" w:rsidRDefault="002C616E" w:rsidP="006F762D">
      <w:pPr>
        <w:pStyle w:val="ListParagraph"/>
        <w:numPr>
          <w:ilvl w:val="1"/>
          <w:numId w:val="9"/>
        </w:numPr>
        <w:ind w:left="1134" w:hanging="567"/>
      </w:pPr>
      <w:r>
        <w:t xml:space="preserve">Providing advice on particular issues </w:t>
      </w:r>
      <w:r w:rsidR="007270CE">
        <w:t>relevant to CLCA’s work</w:t>
      </w:r>
      <w:r w:rsidR="008D64CF">
        <w:t xml:space="preserve"> </w:t>
      </w:r>
    </w:p>
    <w:p w14:paraId="5CBF0795" w14:textId="618AF062" w:rsidR="00E31F80" w:rsidRDefault="00E31F80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members are not responsible for delivering information to centres </w:t>
      </w:r>
      <w:r w:rsidR="61F065C5">
        <w:t>on behalf of CLCA</w:t>
      </w:r>
    </w:p>
    <w:p w14:paraId="33B28C03" w14:textId="1F5FB461" w:rsidR="00A10BB0" w:rsidRDefault="00A10BB0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is not a substitute for </w:t>
      </w:r>
      <w:r w:rsidR="008275CD">
        <w:t xml:space="preserve">sector </w:t>
      </w:r>
      <w:r>
        <w:t>communications</w:t>
      </w:r>
      <w:r w:rsidR="008275CD">
        <w:t xml:space="preserve"> directed to centres</w:t>
      </w:r>
      <w:r w:rsidR="00BA290D">
        <w:t>.</w:t>
      </w:r>
      <w:r>
        <w:t xml:space="preserve"> </w:t>
      </w:r>
    </w:p>
    <w:p w14:paraId="1726F2E0" w14:textId="04D0E27F" w:rsidR="00070765" w:rsidRPr="006F762D" w:rsidRDefault="00070765" w:rsidP="006F762D">
      <w:pPr>
        <w:keepNext/>
        <w:spacing w:before="360" w:after="0" w:line="240" w:lineRule="auto"/>
        <w:outlineLvl w:val="1"/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</w:pPr>
      <w:r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Relationship to the Board</w:t>
      </w:r>
    </w:p>
    <w:p w14:paraId="7C757769" w14:textId="4EBD75F5" w:rsidR="00070765" w:rsidRDefault="00070765" w:rsidP="006F762D">
      <w:pPr>
        <w:pStyle w:val="ListParagraph"/>
        <w:numPr>
          <w:ilvl w:val="0"/>
          <w:numId w:val="9"/>
        </w:numPr>
        <w:ind w:left="567" w:hanging="567"/>
      </w:pPr>
      <w:r>
        <w:t>The Board is the governance authority for CLCA</w:t>
      </w:r>
      <w:r w:rsidR="00BA290D">
        <w:t>.</w:t>
      </w:r>
    </w:p>
    <w:p w14:paraId="1081A8C9" w14:textId="7FBD2F63" w:rsidR="00070765" w:rsidRDefault="00070765" w:rsidP="006F762D">
      <w:pPr>
        <w:pStyle w:val="ListParagraph"/>
        <w:numPr>
          <w:ilvl w:val="0"/>
          <w:numId w:val="9"/>
        </w:numPr>
        <w:ind w:left="567" w:hanging="567"/>
      </w:pPr>
      <w:r>
        <w:t>The Board will take advice from MAG however MAG is an advisory mechanism and CLCA is not bound by its advice.</w:t>
      </w:r>
    </w:p>
    <w:p w14:paraId="196F70A3" w14:textId="22589602" w:rsidR="67BA15B2" w:rsidRDefault="67BA15B2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The CLCA CEO serves as the conduit for information between the MAG and the Board, </w:t>
      </w:r>
      <w:r w:rsidR="4967B92B">
        <w:t>and for advice from the MAG to the Board</w:t>
      </w:r>
      <w:r w:rsidR="00A63401">
        <w:t>.</w:t>
      </w:r>
      <w:r w:rsidR="4967B92B">
        <w:t xml:space="preserve"> </w:t>
      </w:r>
    </w:p>
    <w:p w14:paraId="1989A7D0" w14:textId="7197B204" w:rsidR="2A91BEC9" w:rsidRDefault="2A91BEC9" w:rsidP="006F762D">
      <w:pPr>
        <w:pStyle w:val="ListParagraph"/>
        <w:numPr>
          <w:ilvl w:val="0"/>
          <w:numId w:val="9"/>
        </w:numPr>
        <w:ind w:left="567" w:hanging="567"/>
      </w:pPr>
      <w:r>
        <w:lastRenderedPageBreak/>
        <w:t>The Board may direct the CEO to seek the MAG’s views on specific issues.</w:t>
      </w:r>
    </w:p>
    <w:p w14:paraId="022268C2" w14:textId="2A33B51F" w:rsidR="002368E7" w:rsidRPr="00AF75A4" w:rsidRDefault="002368E7" w:rsidP="006F762D">
      <w:pPr>
        <w:pStyle w:val="ListParagraph"/>
        <w:numPr>
          <w:ilvl w:val="0"/>
          <w:numId w:val="9"/>
        </w:numPr>
        <w:ind w:left="567" w:hanging="567"/>
      </w:pPr>
      <w:r w:rsidRPr="006F762D">
        <w:t>When a CLCA Board member is also a MAG member</w:t>
      </w:r>
      <w:r w:rsidR="00AF75A4" w:rsidRPr="006F762D">
        <w:t>, the member will be mindful of conflicts of interest</w:t>
      </w:r>
      <w:r w:rsidR="00A52FC3" w:rsidRPr="006F762D">
        <w:t>.</w:t>
      </w:r>
      <w:r w:rsidR="00AF75A4" w:rsidRPr="006F762D">
        <w:t xml:space="preserve">  </w:t>
      </w:r>
    </w:p>
    <w:p w14:paraId="62A5BC8E" w14:textId="19FB2922" w:rsidR="00287FC7" w:rsidRPr="006F762D" w:rsidRDefault="00287FC7" w:rsidP="006F762D">
      <w:pPr>
        <w:keepNext/>
        <w:spacing w:before="360" w:after="0" w:line="240" w:lineRule="auto"/>
        <w:outlineLvl w:val="1"/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</w:pPr>
      <w:r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Membership</w:t>
      </w:r>
    </w:p>
    <w:p w14:paraId="4FAAB9E7" w14:textId="11B99153" w:rsidR="0062536D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</w:t>
      </w:r>
      <w:r w:rsidR="005C49F3">
        <w:t xml:space="preserve">members </w:t>
      </w:r>
      <w:r w:rsidR="00735D86">
        <w:t xml:space="preserve">include </w:t>
      </w:r>
      <w:r>
        <w:t>one representative from each of CLCA’s eight members</w:t>
      </w:r>
      <w:r w:rsidR="00340808">
        <w:t xml:space="preserve"> (being the state and territory </w:t>
      </w:r>
      <w:r w:rsidR="00D9771D">
        <w:t>CLC peak bodies)</w:t>
      </w:r>
      <w:r w:rsidR="005C49F3">
        <w:t xml:space="preserve"> which will be</w:t>
      </w:r>
      <w:r w:rsidR="0062536D">
        <w:t>:</w:t>
      </w:r>
    </w:p>
    <w:p w14:paraId="0DB130CA" w14:textId="6A024D33" w:rsidR="0062536D" w:rsidRDefault="005C49F3" w:rsidP="006F762D">
      <w:pPr>
        <w:pStyle w:val="ListParagraph"/>
        <w:numPr>
          <w:ilvl w:val="1"/>
          <w:numId w:val="9"/>
        </w:numPr>
        <w:ind w:left="1134" w:hanging="567"/>
      </w:pPr>
      <w:r>
        <w:t xml:space="preserve">the </w:t>
      </w:r>
      <w:r w:rsidR="00287FC7">
        <w:t>CEO of the state peak where the peak is funded</w:t>
      </w:r>
      <w:r w:rsidR="00C24593">
        <w:t>,</w:t>
      </w:r>
    </w:p>
    <w:p w14:paraId="418E43C9" w14:textId="24391E7F" w:rsidR="00C24593" w:rsidRDefault="00287FC7" w:rsidP="006F762D">
      <w:pPr>
        <w:pStyle w:val="ListParagraph"/>
        <w:numPr>
          <w:ilvl w:val="1"/>
          <w:numId w:val="9"/>
        </w:numPr>
        <w:ind w:left="1134" w:hanging="567"/>
      </w:pPr>
      <w:r>
        <w:t xml:space="preserve">the </w:t>
      </w:r>
      <w:r w:rsidR="00180F3F">
        <w:t>C</w:t>
      </w:r>
      <w:r>
        <w:t xml:space="preserve">hair of the state/territory association where </w:t>
      </w:r>
      <w:r w:rsidR="006A6A54">
        <w:t>there is</w:t>
      </w:r>
      <w:r>
        <w:t xml:space="preserve"> no funded peak</w:t>
      </w:r>
      <w:r w:rsidR="00C24593">
        <w:t>,</w:t>
      </w:r>
      <w:r w:rsidR="0062536D">
        <w:t xml:space="preserve"> </w:t>
      </w:r>
      <w:r w:rsidR="00180F3F">
        <w:t>or</w:t>
      </w:r>
    </w:p>
    <w:p w14:paraId="07984BC0" w14:textId="59FC5D25" w:rsidR="00E4702D" w:rsidRDefault="005C49F3" w:rsidP="006F762D">
      <w:pPr>
        <w:pStyle w:val="ListParagraph"/>
        <w:numPr>
          <w:ilvl w:val="1"/>
          <w:numId w:val="9"/>
        </w:numPr>
        <w:ind w:left="1134" w:hanging="567"/>
      </w:pPr>
      <w:r>
        <w:t xml:space="preserve">a </w:t>
      </w:r>
      <w:r w:rsidR="005A07E6">
        <w:t>nominee or delegate</w:t>
      </w:r>
      <w:r w:rsidR="0062536D">
        <w:t xml:space="preserve"> of the above</w:t>
      </w:r>
      <w:r w:rsidR="00BC4B2E">
        <w:t>.</w:t>
      </w:r>
    </w:p>
    <w:p w14:paraId="3EE8D147" w14:textId="215473A3" w:rsidR="00E4702D" w:rsidRDefault="00E4702D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If a jurisdiction is unable to provide a representative to MAG, the CLCA CEO will take reasonable steps to ascertain the views of centres in that jurisdiction.  </w:t>
      </w:r>
    </w:p>
    <w:p w14:paraId="5C389914" w14:textId="2EAC85F7" w:rsidR="000B41C1" w:rsidRDefault="00F052C8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</w:t>
      </w:r>
      <w:r w:rsidR="00EA2ED5">
        <w:t xml:space="preserve">acknowledges the </w:t>
      </w:r>
      <w:r w:rsidR="00740068">
        <w:t xml:space="preserve">very </w:t>
      </w:r>
      <w:r w:rsidR="00EA2ED5">
        <w:t xml:space="preserve">different </w:t>
      </w:r>
      <w:r w:rsidR="00533BE9">
        <w:t xml:space="preserve">levels of resourcing </w:t>
      </w:r>
      <w:r w:rsidR="00740068">
        <w:t>available to</w:t>
      </w:r>
      <w:r w:rsidR="00B646E1">
        <w:t xml:space="preserve"> state and territory </w:t>
      </w:r>
      <w:r w:rsidR="00521F28">
        <w:t xml:space="preserve">CLC </w:t>
      </w:r>
      <w:r w:rsidR="00B646E1">
        <w:t xml:space="preserve">associations </w:t>
      </w:r>
      <w:r w:rsidR="00740068">
        <w:t xml:space="preserve">and that it is harder for associations which are not funded to </w:t>
      </w:r>
      <w:r w:rsidR="00C71D0C">
        <w:t xml:space="preserve">provide a </w:t>
      </w:r>
      <w:r w:rsidR="00740068">
        <w:t>MAG representatives.</w:t>
      </w:r>
      <w:r w:rsidR="004C4632">
        <w:t xml:space="preserve"> Currently, only associations in NSW, Qld, </w:t>
      </w:r>
      <w:r w:rsidR="00F004BA">
        <w:t xml:space="preserve">Victoria and WA are funded. </w:t>
      </w:r>
    </w:p>
    <w:p w14:paraId="7B7595D4" w14:textId="12122EDD" w:rsidR="0074214E" w:rsidRDefault="0074214E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members </w:t>
      </w:r>
      <w:r w:rsidR="00351CE3">
        <w:t>bring perspectives informed by the</w:t>
      </w:r>
      <w:r w:rsidR="00C71D0C">
        <w:t>ir knowledge and experience</w:t>
      </w:r>
      <w:r w:rsidR="00461921">
        <w:t>,</w:t>
      </w:r>
      <w:r w:rsidR="009B2E8B">
        <w:t xml:space="preserve"> </w:t>
      </w:r>
      <w:r w:rsidR="00461921">
        <w:t xml:space="preserve"> </w:t>
      </w:r>
      <w:r w:rsidR="007527C4">
        <w:t xml:space="preserve">and will do their best to </w:t>
      </w:r>
      <w:r w:rsidR="00025CA1">
        <w:t>represent the views of their jurisdiction</w:t>
      </w:r>
      <w:r w:rsidR="007527C4">
        <w:t xml:space="preserve"> and should note where necessary any divergence </w:t>
      </w:r>
      <w:r w:rsidR="00C71D0C">
        <w:t xml:space="preserve">or difficulty in reaching </w:t>
      </w:r>
      <w:r w:rsidR="0052037E">
        <w:t>consensus.</w:t>
      </w:r>
      <w:r w:rsidR="00025CA1">
        <w:t xml:space="preserve"> </w:t>
      </w:r>
    </w:p>
    <w:p w14:paraId="2F7ECBCB" w14:textId="48B093E7" w:rsidR="00287FC7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>The CLCA Board Chair is invited to attend</w:t>
      </w:r>
      <w:r w:rsidR="0052037E">
        <w:t xml:space="preserve"> the MAG</w:t>
      </w:r>
      <w:r w:rsidR="00E46E62">
        <w:t xml:space="preserve"> but is not a member of the MAG</w:t>
      </w:r>
      <w:r>
        <w:t>.</w:t>
      </w:r>
      <w:r w:rsidR="00536128">
        <w:t xml:space="preserve"> The purpose of </w:t>
      </w:r>
      <w:r w:rsidR="008C6DC4">
        <w:t xml:space="preserve">attendance </w:t>
      </w:r>
      <w:r w:rsidR="00536128">
        <w:t xml:space="preserve">is to </w:t>
      </w:r>
      <w:r w:rsidR="00E652BA">
        <w:t xml:space="preserve">enable the Chair to be informed </w:t>
      </w:r>
      <w:r w:rsidR="23431AE0">
        <w:t>of matters impacting the members and to gain a sense of the sector’s perspectives on key issues</w:t>
      </w:r>
      <w:r w:rsidR="00033749">
        <w:t xml:space="preserve"> in order to inform lobby and advocacy </w:t>
      </w:r>
      <w:r w:rsidR="00D705B1">
        <w:t>and the work of CLCA</w:t>
      </w:r>
      <w:r w:rsidR="23431AE0">
        <w:t xml:space="preserve">. </w:t>
      </w:r>
    </w:p>
    <w:p w14:paraId="69971F6D" w14:textId="1597C6FD" w:rsidR="00287FC7" w:rsidRPr="006F762D" w:rsidRDefault="00287FC7" w:rsidP="006F762D">
      <w:pPr>
        <w:keepNext/>
        <w:spacing w:before="360" w:after="0" w:line="240" w:lineRule="auto"/>
        <w:outlineLvl w:val="1"/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</w:pPr>
      <w:r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Process</w:t>
      </w:r>
    </w:p>
    <w:p w14:paraId="1B217E7C" w14:textId="62715134" w:rsidR="00287FC7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</w:t>
      </w:r>
      <w:r w:rsidR="003433B6">
        <w:t>will</w:t>
      </w:r>
      <w:r>
        <w:t xml:space="preserve"> meet as</w:t>
      </w:r>
      <w:r w:rsidR="007B666A">
        <w:t xml:space="preserve"> </w:t>
      </w:r>
      <w:r>
        <w:t xml:space="preserve">determined by the members, but ideally </w:t>
      </w:r>
      <w:r w:rsidR="00070765">
        <w:t>at least</w:t>
      </w:r>
      <w:r>
        <w:t xml:space="preserve"> every six weeks</w:t>
      </w:r>
      <w:r w:rsidR="00914A31">
        <w:t>.</w:t>
      </w:r>
    </w:p>
    <w:p w14:paraId="0F6B0D71" w14:textId="53E68B85" w:rsidR="00287FC7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>The CEO of CLCA will act as secretariat for MAG</w:t>
      </w:r>
      <w:r w:rsidR="00914A31">
        <w:t>.</w:t>
      </w:r>
    </w:p>
    <w:p w14:paraId="2EC0EB17" w14:textId="25A27D8C" w:rsidR="00287FC7" w:rsidRDefault="00287FC7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</w:t>
      </w:r>
      <w:r w:rsidR="00070765">
        <w:t xml:space="preserve">may appoint one of its members to act as chair of MAG meetings. If there is no nomination the CEO of CLCA will serve as meeting </w:t>
      </w:r>
      <w:r w:rsidR="00E23098">
        <w:t>C</w:t>
      </w:r>
      <w:r w:rsidR="00070765">
        <w:t>hair.</w:t>
      </w:r>
    </w:p>
    <w:p w14:paraId="48F20EEF" w14:textId="24801D7A" w:rsidR="00070765" w:rsidRDefault="009B060A" w:rsidP="006F762D">
      <w:pPr>
        <w:pStyle w:val="ListParagraph"/>
        <w:numPr>
          <w:ilvl w:val="0"/>
          <w:numId w:val="9"/>
        </w:numPr>
        <w:ind w:left="567" w:hanging="567"/>
      </w:pPr>
      <w:r>
        <w:t>Summary notes of</w:t>
      </w:r>
      <w:r w:rsidR="00070765">
        <w:t xml:space="preserve"> meetings are to be kept</w:t>
      </w:r>
      <w:r w:rsidR="00CD33DA">
        <w:t xml:space="preserve"> and shared with members for transparency and continuity (could there be a </w:t>
      </w:r>
      <w:r w:rsidR="00B822FD">
        <w:t>SharePoint site?)</w:t>
      </w:r>
      <w:r w:rsidR="00914A31">
        <w:t>.</w:t>
      </w:r>
    </w:p>
    <w:p w14:paraId="4FEEB08E" w14:textId="1C7EDBD3" w:rsidR="00070765" w:rsidRDefault="00070765" w:rsidP="006F762D">
      <w:pPr>
        <w:pStyle w:val="ListParagraph"/>
        <w:numPr>
          <w:ilvl w:val="0"/>
          <w:numId w:val="9"/>
        </w:numPr>
        <w:ind w:left="567" w:hanging="567"/>
      </w:pPr>
      <w:r>
        <w:t>Meetings will encourage informality and participation.</w:t>
      </w:r>
    </w:p>
    <w:p w14:paraId="7F94F8ED" w14:textId="3C3910AF" w:rsidR="00895B4E" w:rsidRDefault="00914A31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</w:t>
      </w:r>
      <w:r w:rsidR="009F7D5E">
        <w:t>applies the Chatham House Rule</w:t>
      </w:r>
      <w:r w:rsidR="007E5C4D">
        <w:t xml:space="preserve"> i.e. MAG members are free to use </w:t>
      </w:r>
      <w:r w:rsidR="00755736">
        <w:t>and share information from meetings with their</w:t>
      </w:r>
      <w:r w:rsidR="0035564F">
        <w:t xml:space="preserve"> state peak/association and with centres within their</w:t>
      </w:r>
      <w:r w:rsidR="00755736">
        <w:t xml:space="preserve"> </w:t>
      </w:r>
      <w:r w:rsidR="0035564F">
        <w:t xml:space="preserve">jurisdiction </w:t>
      </w:r>
      <w:r w:rsidR="00755736">
        <w:t xml:space="preserve">but </w:t>
      </w:r>
      <w:r w:rsidR="00B620D9">
        <w:t xml:space="preserve">will not identify the holder of any views expressed within MAG meetings. </w:t>
      </w:r>
      <w:r w:rsidR="000904F5">
        <w:t xml:space="preserve">MAG members should feel free to express views without fear they will be identified as </w:t>
      </w:r>
      <w:r w:rsidR="00102974">
        <w:t>having or expressing</w:t>
      </w:r>
      <w:r w:rsidR="000904F5">
        <w:t xml:space="preserve"> those views. </w:t>
      </w:r>
      <w:r w:rsidR="00102974">
        <w:t xml:space="preserve">An exception may be made </w:t>
      </w:r>
      <w:r w:rsidR="00102974">
        <w:lastRenderedPageBreak/>
        <w:t xml:space="preserve">by agreement where a MAG member is expressing the official view of their </w:t>
      </w:r>
      <w:r w:rsidR="00D65E85">
        <w:t xml:space="preserve">jurisdiction and is happy for this to be reported. </w:t>
      </w:r>
    </w:p>
    <w:p w14:paraId="1BA1B0BC" w14:textId="1065B6A1" w:rsidR="00A30565" w:rsidRDefault="00895B4E" w:rsidP="006F762D">
      <w:pPr>
        <w:pStyle w:val="ListParagraph"/>
        <w:numPr>
          <w:ilvl w:val="0"/>
          <w:numId w:val="9"/>
        </w:numPr>
        <w:ind w:left="567" w:hanging="567"/>
      </w:pPr>
      <w:r>
        <w:t>CLCA notes that p</w:t>
      </w:r>
      <w:r w:rsidR="0013592F">
        <w:t xml:space="preserve">articipation in a discussion that </w:t>
      </w:r>
      <w:r w:rsidR="005601B1">
        <w:t xml:space="preserve">informs </w:t>
      </w:r>
      <w:r w:rsidR="0013592F">
        <w:t>a CLCA policy</w:t>
      </w:r>
      <w:r w:rsidR="00967252">
        <w:t xml:space="preserve"> or position</w:t>
      </w:r>
      <w:r w:rsidR="0013592F">
        <w:t xml:space="preserve"> is not </w:t>
      </w:r>
      <w:r w:rsidR="005601B1">
        <w:t>de facto endorsement</w:t>
      </w:r>
      <w:r>
        <w:t>.</w:t>
      </w:r>
      <w:r w:rsidR="00B822FD">
        <w:t xml:space="preserve"> </w:t>
      </w:r>
    </w:p>
    <w:p w14:paraId="50D8FCD0" w14:textId="19D410BD" w:rsidR="00287FC7" w:rsidRPr="006F762D" w:rsidRDefault="00287FC7" w:rsidP="006F762D">
      <w:pPr>
        <w:keepNext/>
        <w:spacing w:before="360" w:after="0" w:line="240" w:lineRule="auto"/>
        <w:outlineLvl w:val="1"/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</w:pPr>
      <w:r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Decision-making</w:t>
      </w:r>
      <w:r w:rsidR="000971C2"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 xml:space="preserve"> </w:t>
      </w:r>
      <w:r w:rsidR="2B258212"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 xml:space="preserve">and </w:t>
      </w:r>
      <w:r w:rsidR="006F762D"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d</w:t>
      </w:r>
      <w:r w:rsidR="2B258212"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>isagreements</w:t>
      </w:r>
    </w:p>
    <w:p w14:paraId="033A991C" w14:textId="75B5F964" w:rsidR="00D67A38" w:rsidRDefault="00070765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MAG </w:t>
      </w:r>
      <w:r w:rsidR="00E31F80">
        <w:t>is not a deliberative authority</w:t>
      </w:r>
      <w:r w:rsidR="00A30565">
        <w:t xml:space="preserve">. Where there is no consensus CLCA will be clear in communications to the Board </w:t>
      </w:r>
      <w:r w:rsidR="00F57876">
        <w:t xml:space="preserve">and </w:t>
      </w:r>
      <w:r w:rsidR="00D67A38">
        <w:t xml:space="preserve">others </w:t>
      </w:r>
      <w:r w:rsidR="00A30565">
        <w:t>not</w:t>
      </w:r>
      <w:r w:rsidR="007B6FFC">
        <w:t>ing any divergence on views.</w:t>
      </w:r>
    </w:p>
    <w:p w14:paraId="4E930315" w14:textId="6F87C786" w:rsidR="00287FC7" w:rsidRDefault="00E31F80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Any concerns with the conduct of the CLCA CEO </w:t>
      </w:r>
      <w:r w:rsidR="00A95235">
        <w:t xml:space="preserve">that cannot be resolved directly with the CEO </w:t>
      </w:r>
      <w:r>
        <w:t xml:space="preserve">should be raised with the </w:t>
      </w:r>
      <w:r w:rsidR="00EE218B">
        <w:t>CLCA C</w:t>
      </w:r>
      <w:r>
        <w:t>hair.</w:t>
      </w:r>
    </w:p>
    <w:p w14:paraId="1B7CDCD6" w14:textId="385822F0" w:rsidR="00E31F80" w:rsidRDefault="00E31F80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Any concerns with the conduct of the CLCA </w:t>
      </w:r>
      <w:r w:rsidR="00EE218B">
        <w:t>C</w:t>
      </w:r>
      <w:r>
        <w:t xml:space="preserve">hair should be raised with the CLCA CEO for reference to the </w:t>
      </w:r>
      <w:r w:rsidR="00EE218B">
        <w:t xml:space="preserve">CLCA </w:t>
      </w:r>
      <w:r>
        <w:t>Board.</w:t>
      </w:r>
    </w:p>
    <w:p w14:paraId="7D6F7183" w14:textId="2518F0B8" w:rsidR="00E31F80" w:rsidRDefault="00E31F80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The Board </w:t>
      </w:r>
      <w:r w:rsidR="00EE218B">
        <w:t>C</w:t>
      </w:r>
      <w:r>
        <w:t xml:space="preserve">hair and CEO are subject to the </w:t>
      </w:r>
      <w:r w:rsidR="008A3819">
        <w:t>CLCA Feedback and C</w:t>
      </w:r>
      <w:r>
        <w:t xml:space="preserve">omplaints Policy and members are entitled </w:t>
      </w:r>
      <w:r w:rsidR="0014677E">
        <w:t>to</w:t>
      </w:r>
      <w:r>
        <w:t xml:space="preserve"> make complaints under this policy.</w:t>
      </w:r>
    </w:p>
    <w:p w14:paraId="11CCE690" w14:textId="7B19085A" w:rsidR="00E31F80" w:rsidRDefault="00E31F80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The CLCA constitution includes provisions by which members can raise issues, including complaints, with the </w:t>
      </w:r>
      <w:r w:rsidR="0014677E">
        <w:t>national peak</w:t>
      </w:r>
      <w:r>
        <w:t>.</w:t>
      </w:r>
    </w:p>
    <w:p w14:paraId="58D39EBB" w14:textId="7F1FF591" w:rsidR="00E31F80" w:rsidRDefault="001C2E6D" w:rsidP="006F762D">
      <w:pPr>
        <w:pStyle w:val="ListParagraph"/>
        <w:numPr>
          <w:ilvl w:val="0"/>
          <w:numId w:val="9"/>
        </w:numPr>
        <w:ind w:left="567" w:hanging="567"/>
      </w:pPr>
      <w:r>
        <w:t xml:space="preserve">Any issues that </w:t>
      </w:r>
      <w:r w:rsidR="00E31F80">
        <w:t xml:space="preserve">one </w:t>
      </w:r>
      <w:r w:rsidR="002F0550">
        <w:t xml:space="preserve">MAG </w:t>
      </w:r>
      <w:r w:rsidR="00E31F80">
        <w:t xml:space="preserve">member </w:t>
      </w:r>
      <w:r w:rsidR="007114DC">
        <w:t>may</w:t>
      </w:r>
      <w:r>
        <w:t xml:space="preserve"> have with </w:t>
      </w:r>
      <w:r w:rsidR="002F0550">
        <w:t>another</w:t>
      </w:r>
      <w:r w:rsidR="00E31F80">
        <w:t xml:space="preserve"> </w:t>
      </w:r>
      <w:r w:rsidR="002F0550">
        <w:t xml:space="preserve">member </w:t>
      </w:r>
      <w:r w:rsidR="00E31F80">
        <w:t xml:space="preserve">will </w:t>
      </w:r>
      <w:r>
        <w:t>be raised in the spirit of collaboration and sector cohesion.</w:t>
      </w:r>
    </w:p>
    <w:p w14:paraId="2B3305C8" w14:textId="4475E7C6" w:rsidR="001C2E6D" w:rsidRDefault="001C2E6D" w:rsidP="006F762D">
      <w:pPr>
        <w:pStyle w:val="ListParagraph"/>
        <w:numPr>
          <w:ilvl w:val="0"/>
          <w:numId w:val="9"/>
        </w:numPr>
        <w:ind w:left="567" w:hanging="567"/>
      </w:pPr>
      <w:r>
        <w:t>CLCA will assist in the resolution of any disputes in the way it considers most appropriate.</w:t>
      </w:r>
    </w:p>
    <w:p w14:paraId="48BD1C22" w14:textId="4A0EFD92" w:rsidR="00287FC7" w:rsidRPr="006F762D" w:rsidRDefault="00287FC7" w:rsidP="006F762D">
      <w:pPr>
        <w:keepNext/>
        <w:spacing w:before="360" w:after="0" w:line="240" w:lineRule="auto"/>
        <w:outlineLvl w:val="1"/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</w:pPr>
      <w:r w:rsidRPr="006F762D">
        <w:rPr>
          <w:rFonts w:ascii="Aptos" w:eastAsia="DengXian" w:hAnsi="Aptos" w:cs="Aptos"/>
          <w:color w:val="F04C29"/>
          <w:kern w:val="0"/>
          <w:sz w:val="36"/>
          <w:szCs w:val="22"/>
          <w:lang w:val="en-GB" w:eastAsia="zh-CN" w:bidi="th-TH"/>
          <w14:ligatures w14:val="none"/>
        </w:rPr>
        <w:t xml:space="preserve">Review </w:t>
      </w:r>
    </w:p>
    <w:p w14:paraId="53BE84B3" w14:textId="3535FE9C" w:rsidR="00287FC7" w:rsidRPr="002F0550" w:rsidRDefault="00E31F80">
      <w:r>
        <w:t xml:space="preserve">These terms of reference will be reviewed </w:t>
      </w:r>
      <w:r w:rsidR="00B035DD">
        <w:t>bi-</w:t>
      </w:r>
      <w:r>
        <w:t xml:space="preserve">annually or at any time the members </w:t>
      </w:r>
      <w:r w:rsidR="002F0550">
        <w:t>decide</w:t>
      </w:r>
      <w:r>
        <w:t>.</w:t>
      </w:r>
    </w:p>
    <w:p w14:paraId="4031D5EF" w14:textId="77777777" w:rsidR="00287FC7" w:rsidRDefault="00287FC7"/>
    <w:sectPr w:rsidR="00287FC7">
      <w:headerReference w:type="even" r:id="rId10"/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2CE8" w14:textId="77777777" w:rsidR="00B03797" w:rsidRDefault="00B03797" w:rsidP="001634B6">
      <w:pPr>
        <w:spacing w:after="0" w:line="240" w:lineRule="auto"/>
      </w:pPr>
      <w:r>
        <w:separator/>
      </w:r>
    </w:p>
  </w:endnote>
  <w:endnote w:type="continuationSeparator" w:id="0">
    <w:p w14:paraId="4EFB2498" w14:textId="77777777" w:rsidR="00B03797" w:rsidRDefault="00B03797" w:rsidP="001634B6">
      <w:pPr>
        <w:spacing w:after="0" w:line="240" w:lineRule="auto"/>
      </w:pPr>
      <w:r>
        <w:continuationSeparator/>
      </w:r>
    </w:p>
  </w:endnote>
  <w:endnote w:type="continuationNotice" w:id="1">
    <w:p w14:paraId="08877F30" w14:textId="77777777" w:rsidR="00B03797" w:rsidRDefault="00B03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128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A31A8" w14:textId="0F201C58" w:rsidR="00DD250B" w:rsidRDefault="006F762D">
        <w:pPr>
          <w:pStyle w:val="Footer"/>
          <w:jc w:val="right"/>
        </w:pPr>
        <w:r>
          <w:rPr>
            <w:noProof/>
            <w:lang w:val="en-GB"/>
          </w:rPr>
          <w:drawing>
            <wp:anchor distT="0" distB="0" distL="114300" distR="114300" simplePos="0" relativeHeight="251661824" behindDoc="1" locked="0" layoutInCell="1" allowOverlap="1" wp14:anchorId="5605C690" wp14:editId="6C833BDE">
              <wp:simplePos x="0" y="0"/>
              <wp:positionH relativeFrom="column">
                <wp:posOffset>4618990</wp:posOffset>
              </wp:positionH>
              <wp:positionV relativeFrom="paragraph">
                <wp:posOffset>-1831975</wp:posOffset>
              </wp:positionV>
              <wp:extent cx="1755140" cy="3975100"/>
              <wp:effectExtent l="647700" t="0" r="454660" b="0"/>
              <wp:wrapSquare wrapText="bothSides"/>
              <wp:docPr id="1121228735" name="Graphic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5149653" name="Graphic 1205149653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403915" flipH="1">
                        <a:off x="0" y="0"/>
                        <a:ext cx="1755140" cy="3975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D250B">
          <w:fldChar w:fldCharType="begin"/>
        </w:r>
        <w:r w:rsidR="00DD250B">
          <w:instrText xml:space="preserve"> PAGE   \* MERGEFORMAT </w:instrText>
        </w:r>
        <w:r w:rsidR="00DD250B">
          <w:fldChar w:fldCharType="separate"/>
        </w:r>
        <w:r w:rsidR="00DD250B">
          <w:rPr>
            <w:noProof/>
          </w:rPr>
          <w:t>2</w:t>
        </w:r>
        <w:r w:rsidR="00DD250B">
          <w:rPr>
            <w:noProof/>
          </w:rPr>
          <w:fldChar w:fldCharType="end"/>
        </w:r>
      </w:p>
    </w:sdtContent>
  </w:sdt>
  <w:p w14:paraId="56711FBE" w14:textId="77777777" w:rsidR="001634B6" w:rsidRDefault="00163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54A8A" w14:textId="77777777" w:rsidR="00B03797" w:rsidRDefault="00B03797" w:rsidP="001634B6">
      <w:pPr>
        <w:spacing w:after="0" w:line="240" w:lineRule="auto"/>
      </w:pPr>
      <w:r>
        <w:separator/>
      </w:r>
    </w:p>
  </w:footnote>
  <w:footnote w:type="continuationSeparator" w:id="0">
    <w:p w14:paraId="6D70611B" w14:textId="77777777" w:rsidR="00B03797" w:rsidRDefault="00B03797" w:rsidP="001634B6">
      <w:pPr>
        <w:spacing w:after="0" w:line="240" w:lineRule="auto"/>
      </w:pPr>
      <w:r>
        <w:continuationSeparator/>
      </w:r>
    </w:p>
  </w:footnote>
  <w:footnote w:type="continuationNotice" w:id="1">
    <w:p w14:paraId="3875F127" w14:textId="77777777" w:rsidR="00B03797" w:rsidRDefault="00B037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DAA4" w14:textId="08766AAD" w:rsidR="001634B6" w:rsidRDefault="006F76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C9AE1B" wp14:editId="3C078B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790" cy="3030220"/>
              <wp:effectExtent l="0" t="1104900" r="0" b="636905"/>
              <wp:wrapNone/>
              <wp:docPr id="19734058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790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6820B" w14:textId="77777777" w:rsidR="006F762D" w:rsidRDefault="006F762D" w:rsidP="006F762D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9AE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7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7E6820B" w14:textId="77777777" w:rsidR="006F762D" w:rsidRDefault="006F762D" w:rsidP="006F762D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14:ligatures w14:val="none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CD24" w14:textId="2EC322F0" w:rsidR="001634B6" w:rsidRDefault="006F76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673FB7" wp14:editId="09F6729C">
              <wp:simplePos x="0" y="0"/>
              <wp:positionH relativeFrom="margin">
                <wp:posOffset>0</wp:posOffset>
              </wp:positionH>
              <wp:positionV relativeFrom="margin">
                <wp:posOffset>-274320</wp:posOffset>
              </wp:positionV>
              <wp:extent cx="5716988" cy="0"/>
              <wp:effectExtent l="0" t="0" r="0" b="0"/>
              <wp:wrapSquare wrapText="bothSides"/>
              <wp:docPr id="21532341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98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CD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AB315A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0,-21.6pt" to="450.1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" strokecolor="#ffcd54" strokeweight="1pt">
              <v:stroke joinstyle="miter"/>
              <w10:wrap type="square" anchorx="margin" anchory="margin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6668"/>
    <w:multiLevelType w:val="hybridMultilevel"/>
    <w:tmpl w:val="7C2AB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8A00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E1038"/>
    <w:multiLevelType w:val="hybridMultilevel"/>
    <w:tmpl w:val="56903FA0"/>
    <w:lvl w:ilvl="0" w:tplc="62BE7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63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4F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87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60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A2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5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49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8D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1653"/>
    <w:multiLevelType w:val="hybridMultilevel"/>
    <w:tmpl w:val="30885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6E8E"/>
    <w:multiLevelType w:val="hybridMultilevel"/>
    <w:tmpl w:val="FE4A2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74F5"/>
    <w:multiLevelType w:val="hybridMultilevel"/>
    <w:tmpl w:val="5CEE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763"/>
    <w:multiLevelType w:val="hybridMultilevel"/>
    <w:tmpl w:val="5B9A9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0ED0"/>
    <w:multiLevelType w:val="hybridMultilevel"/>
    <w:tmpl w:val="501C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D63"/>
    <w:multiLevelType w:val="hybridMultilevel"/>
    <w:tmpl w:val="9B14E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96259"/>
    <w:multiLevelType w:val="hybridMultilevel"/>
    <w:tmpl w:val="791C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87850">
    <w:abstractNumId w:val="1"/>
  </w:num>
  <w:num w:numId="2" w16cid:durableId="147136458">
    <w:abstractNumId w:val="6"/>
  </w:num>
  <w:num w:numId="3" w16cid:durableId="1342512187">
    <w:abstractNumId w:val="3"/>
  </w:num>
  <w:num w:numId="4" w16cid:durableId="1782530143">
    <w:abstractNumId w:val="5"/>
  </w:num>
  <w:num w:numId="5" w16cid:durableId="1472600604">
    <w:abstractNumId w:val="8"/>
  </w:num>
  <w:num w:numId="6" w16cid:durableId="1882858193">
    <w:abstractNumId w:val="7"/>
  </w:num>
  <w:num w:numId="7" w16cid:durableId="1861041427">
    <w:abstractNumId w:val="2"/>
  </w:num>
  <w:num w:numId="8" w16cid:durableId="1211380570">
    <w:abstractNumId w:val="4"/>
  </w:num>
  <w:num w:numId="9" w16cid:durableId="18073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C7"/>
    <w:rsid w:val="00000FAA"/>
    <w:rsid w:val="00004742"/>
    <w:rsid w:val="000206A3"/>
    <w:rsid w:val="00025CA1"/>
    <w:rsid w:val="00033749"/>
    <w:rsid w:val="0003624D"/>
    <w:rsid w:val="000471DA"/>
    <w:rsid w:val="00070765"/>
    <w:rsid w:val="000904F5"/>
    <w:rsid w:val="00095192"/>
    <w:rsid w:val="000971C2"/>
    <w:rsid w:val="000B41C1"/>
    <w:rsid w:val="000E3000"/>
    <w:rsid w:val="000F4FEF"/>
    <w:rsid w:val="00102974"/>
    <w:rsid w:val="00125594"/>
    <w:rsid w:val="0013592F"/>
    <w:rsid w:val="001431F7"/>
    <w:rsid w:val="0014677E"/>
    <w:rsid w:val="001634B6"/>
    <w:rsid w:val="00180F3F"/>
    <w:rsid w:val="001C1A81"/>
    <w:rsid w:val="001C2E6D"/>
    <w:rsid w:val="001C7CA8"/>
    <w:rsid w:val="001D7F0E"/>
    <w:rsid w:val="00204F2A"/>
    <w:rsid w:val="0021792D"/>
    <w:rsid w:val="002368E7"/>
    <w:rsid w:val="0024711F"/>
    <w:rsid w:val="00263D76"/>
    <w:rsid w:val="00282FFB"/>
    <w:rsid w:val="00287FC7"/>
    <w:rsid w:val="0029358D"/>
    <w:rsid w:val="00297A5A"/>
    <w:rsid w:val="002C616E"/>
    <w:rsid w:val="002E64E0"/>
    <w:rsid w:val="002F0550"/>
    <w:rsid w:val="00340808"/>
    <w:rsid w:val="003433B6"/>
    <w:rsid w:val="0034796F"/>
    <w:rsid w:val="00351CE3"/>
    <w:rsid w:val="0035564F"/>
    <w:rsid w:val="00377A31"/>
    <w:rsid w:val="00397BAD"/>
    <w:rsid w:val="003C40F9"/>
    <w:rsid w:val="003D4AD9"/>
    <w:rsid w:val="003F3E97"/>
    <w:rsid w:val="00423828"/>
    <w:rsid w:val="00423E24"/>
    <w:rsid w:val="0045244D"/>
    <w:rsid w:val="004564A3"/>
    <w:rsid w:val="00461921"/>
    <w:rsid w:val="00470FD5"/>
    <w:rsid w:val="00493BA3"/>
    <w:rsid w:val="0049404A"/>
    <w:rsid w:val="004C2ACC"/>
    <w:rsid w:val="004C3A27"/>
    <w:rsid w:val="004C4632"/>
    <w:rsid w:val="004D1017"/>
    <w:rsid w:val="0052037E"/>
    <w:rsid w:val="00521F28"/>
    <w:rsid w:val="00531537"/>
    <w:rsid w:val="00533BE9"/>
    <w:rsid w:val="00536128"/>
    <w:rsid w:val="005601B1"/>
    <w:rsid w:val="005A07E6"/>
    <w:rsid w:val="005A208C"/>
    <w:rsid w:val="005B0BB4"/>
    <w:rsid w:val="005B1C11"/>
    <w:rsid w:val="005C49F3"/>
    <w:rsid w:val="005D26F7"/>
    <w:rsid w:val="005D3A54"/>
    <w:rsid w:val="005F573B"/>
    <w:rsid w:val="00605C94"/>
    <w:rsid w:val="0062536D"/>
    <w:rsid w:val="0065422B"/>
    <w:rsid w:val="00677FA2"/>
    <w:rsid w:val="00683A1E"/>
    <w:rsid w:val="006A0AF2"/>
    <w:rsid w:val="006A348F"/>
    <w:rsid w:val="006A6A54"/>
    <w:rsid w:val="006B33D1"/>
    <w:rsid w:val="006E4ED1"/>
    <w:rsid w:val="006F114E"/>
    <w:rsid w:val="006F762D"/>
    <w:rsid w:val="00707FDE"/>
    <w:rsid w:val="007114DC"/>
    <w:rsid w:val="007270CE"/>
    <w:rsid w:val="0073256F"/>
    <w:rsid w:val="00735D86"/>
    <w:rsid w:val="00740068"/>
    <w:rsid w:val="0074214E"/>
    <w:rsid w:val="007527C4"/>
    <w:rsid w:val="00755736"/>
    <w:rsid w:val="0078201B"/>
    <w:rsid w:val="007A2126"/>
    <w:rsid w:val="007A309E"/>
    <w:rsid w:val="007B666A"/>
    <w:rsid w:val="007B6FFC"/>
    <w:rsid w:val="007C0568"/>
    <w:rsid w:val="007C06BF"/>
    <w:rsid w:val="007E5C4D"/>
    <w:rsid w:val="007F2AC4"/>
    <w:rsid w:val="008275CD"/>
    <w:rsid w:val="00830372"/>
    <w:rsid w:val="00836A73"/>
    <w:rsid w:val="008454E9"/>
    <w:rsid w:val="00861426"/>
    <w:rsid w:val="00886F22"/>
    <w:rsid w:val="00895B4E"/>
    <w:rsid w:val="008A3000"/>
    <w:rsid w:val="008A3819"/>
    <w:rsid w:val="008B0798"/>
    <w:rsid w:val="008C6DC4"/>
    <w:rsid w:val="008D64CF"/>
    <w:rsid w:val="00904C67"/>
    <w:rsid w:val="009061AA"/>
    <w:rsid w:val="00914A31"/>
    <w:rsid w:val="00967252"/>
    <w:rsid w:val="009A2D08"/>
    <w:rsid w:val="009B060A"/>
    <w:rsid w:val="009B2E8B"/>
    <w:rsid w:val="009F7D5E"/>
    <w:rsid w:val="00A0524A"/>
    <w:rsid w:val="00A07CB7"/>
    <w:rsid w:val="00A10BB0"/>
    <w:rsid w:val="00A30565"/>
    <w:rsid w:val="00A52FC3"/>
    <w:rsid w:val="00A63401"/>
    <w:rsid w:val="00A95235"/>
    <w:rsid w:val="00AB2A0F"/>
    <w:rsid w:val="00AF75A4"/>
    <w:rsid w:val="00B035DD"/>
    <w:rsid w:val="00B03797"/>
    <w:rsid w:val="00B239C9"/>
    <w:rsid w:val="00B620D9"/>
    <w:rsid w:val="00B646E1"/>
    <w:rsid w:val="00B822FD"/>
    <w:rsid w:val="00BA290D"/>
    <w:rsid w:val="00BC4B2E"/>
    <w:rsid w:val="00BF07A4"/>
    <w:rsid w:val="00C24593"/>
    <w:rsid w:val="00C5649D"/>
    <w:rsid w:val="00C71D0C"/>
    <w:rsid w:val="00C75860"/>
    <w:rsid w:val="00C803CC"/>
    <w:rsid w:val="00C855BE"/>
    <w:rsid w:val="00CC47C4"/>
    <w:rsid w:val="00CD33DA"/>
    <w:rsid w:val="00CE0B6B"/>
    <w:rsid w:val="00CF107F"/>
    <w:rsid w:val="00CF7FCB"/>
    <w:rsid w:val="00D004E6"/>
    <w:rsid w:val="00D04A23"/>
    <w:rsid w:val="00D3589F"/>
    <w:rsid w:val="00D63540"/>
    <w:rsid w:val="00D65E85"/>
    <w:rsid w:val="00D67A38"/>
    <w:rsid w:val="00D705B1"/>
    <w:rsid w:val="00D75380"/>
    <w:rsid w:val="00D85E90"/>
    <w:rsid w:val="00D91C1C"/>
    <w:rsid w:val="00D9771D"/>
    <w:rsid w:val="00DD250B"/>
    <w:rsid w:val="00DE5E3C"/>
    <w:rsid w:val="00E0085D"/>
    <w:rsid w:val="00E219AB"/>
    <w:rsid w:val="00E23098"/>
    <w:rsid w:val="00E26826"/>
    <w:rsid w:val="00E31F80"/>
    <w:rsid w:val="00E40822"/>
    <w:rsid w:val="00E46598"/>
    <w:rsid w:val="00E46E62"/>
    <w:rsid w:val="00E4702D"/>
    <w:rsid w:val="00E652BA"/>
    <w:rsid w:val="00E70DA8"/>
    <w:rsid w:val="00EA2ED5"/>
    <w:rsid w:val="00EA61CB"/>
    <w:rsid w:val="00EB35AC"/>
    <w:rsid w:val="00EE218B"/>
    <w:rsid w:val="00EE32F9"/>
    <w:rsid w:val="00F004BA"/>
    <w:rsid w:val="00F052C8"/>
    <w:rsid w:val="00F122E2"/>
    <w:rsid w:val="00F24151"/>
    <w:rsid w:val="00F4702C"/>
    <w:rsid w:val="00F548FE"/>
    <w:rsid w:val="00F57876"/>
    <w:rsid w:val="00FB70A0"/>
    <w:rsid w:val="00FE0C67"/>
    <w:rsid w:val="02B04594"/>
    <w:rsid w:val="063FEE2B"/>
    <w:rsid w:val="0881B714"/>
    <w:rsid w:val="0C00713A"/>
    <w:rsid w:val="100588E6"/>
    <w:rsid w:val="19324376"/>
    <w:rsid w:val="1D047402"/>
    <w:rsid w:val="1E3D966E"/>
    <w:rsid w:val="2005FA95"/>
    <w:rsid w:val="21707529"/>
    <w:rsid w:val="23431AE0"/>
    <w:rsid w:val="24AE13A6"/>
    <w:rsid w:val="2A91BEC9"/>
    <w:rsid w:val="2B258212"/>
    <w:rsid w:val="2E2FC4B1"/>
    <w:rsid w:val="308B8F48"/>
    <w:rsid w:val="357509F5"/>
    <w:rsid w:val="383DC620"/>
    <w:rsid w:val="415656D5"/>
    <w:rsid w:val="42A2293B"/>
    <w:rsid w:val="437727AF"/>
    <w:rsid w:val="4706C179"/>
    <w:rsid w:val="472835D4"/>
    <w:rsid w:val="48EF98B4"/>
    <w:rsid w:val="4967B92B"/>
    <w:rsid w:val="4D889779"/>
    <w:rsid w:val="50F0F6B6"/>
    <w:rsid w:val="53DDA463"/>
    <w:rsid w:val="53E56393"/>
    <w:rsid w:val="5B5D6561"/>
    <w:rsid w:val="5C398723"/>
    <w:rsid w:val="5E212666"/>
    <w:rsid w:val="6197734B"/>
    <w:rsid w:val="61F065C5"/>
    <w:rsid w:val="67BA15B2"/>
    <w:rsid w:val="6DC60DAD"/>
    <w:rsid w:val="72A277C2"/>
    <w:rsid w:val="73FB0259"/>
    <w:rsid w:val="74E198B2"/>
    <w:rsid w:val="753B6256"/>
    <w:rsid w:val="77E484B1"/>
    <w:rsid w:val="798AAB74"/>
    <w:rsid w:val="7CFF718B"/>
    <w:rsid w:val="7DD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083FD"/>
  <w15:chartTrackingRefBased/>
  <w15:docId w15:val="{253BEE9B-65EC-4296-A41F-DC6D1304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7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7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7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7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7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87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F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3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B6"/>
  </w:style>
  <w:style w:type="paragraph" w:styleId="Footer">
    <w:name w:val="footer"/>
    <w:basedOn w:val="Normal"/>
    <w:link w:val="FooterChar"/>
    <w:uiPriority w:val="99"/>
    <w:unhideWhenUsed/>
    <w:rsid w:val="00163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B6"/>
  </w:style>
  <w:style w:type="paragraph" w:styleId="NoSpacing">
    <w:name w:val="No Spacing"/>
    <w:uiPriority w:val="1"/>
    <w:qFormat/>
    <w:rsid w:val="798AAB74"/>
    <w:pPr>
      <w:spacing w:after="0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1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999EF48DEA74AB7CC9B7B51F523DE" ma:contentTypeVersion="11" ma:contentTypeDescription="Create a new document." ma:contentTypeScope="" ma:versionID="0f4de1604984ebcdb098a3f69de42d37">
  <xsd:schema xmlns:xsd="http://www.w3.org/2001/XMLSchema" xmlns:xs="http://www.w3.org/2001/XMLSchema" xmlns:p="http://schemas.microsoft.com/office/2006/metadata/properties" xmlns:ns2="08201050-e4ec-4490-8f92-111d127e79e7" xmlns:ns3="c1630616-1231-45ef-8577-3a39e2f4be4d" targetNamespace="http://schemas.microsoft.com/office/2006/metadata/properties" ma:root="true" ma:fieldsID="9ebd0e5a5814ada12c2065504be6dd7a" ns2:_="" ns3:_="">
    <xsd:import namespace="08201050-e4ec-4490-8f92-111d127e79e7"/>
    <xsd:import namespace="c1630616-1231-45ef-8577-3a39e2f4b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1050-e4ec-4490-8f92-111d127e7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0616-1231-45ef-8577-3a39e2f4b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492B0-7250-4D14-8848-43FF52F2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01050-e4ec-4490-8f92-111d127e79e7"/>
    <ds:schemaRef ds:uri="c1630616-1231-45ef-8577-3a39e2f4b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C6C78-90E0-4704-81E1-266A653F4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8460E-47EA-41F8-853C-A8C30810D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Leach</dc:creator>
  <cp:keywords/>
  <dc:description/>
  <cp:lastModifiedBy>David Herrero</cp:lastModifiedBy>
  <cp:revision>5</cp:revision>
  <dcterms:created xsi:type="dcterms:W3CDTF">2025-08-06T02:57:00Z</dcterms:created>
  <dcterms:modified xsi:type="dcterms:W3CDTF">2025-08-06T03:25:00Z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0x010100D00999EF48DEA74AB7CC9B7B51F523DE</vt:lpwstr>
  </property>
  <property fmtid="{D5CDD505-2E9C-101B-9397-08002B2CF9AE}" pid="3" name="MediaServiceImageTags">
    <vt:lpwstr/>
  </property>
</Properties>
</file>